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1A91" w:rsidRPr="00CF6B0B" w:rsidP="00561A91">
      <w:pPr>
        <w:ind w:firstLine="709"/>
        <w:jc w:val="right"/>
        <w:rPr>
          <w:sz w:val="28"/>
        </w:rPr>
      </w:pPr>
      <w:r w:rsidRPr="00CF6B0B">
        <w:rPr>
          <w:sz w:val="28"/>
        </w:rPr>
        <w:t>Дело № 5-3</w:t>
      </w:r>
      <w:r>
        <w:rPr>
          <w:sz w:val="28"/>
        </w:rPr>
        <w:t>68</w:t>
      </w:r>
      <w:r w:rsidRPr="00CF6B0B">
        <w:rPr>
          <w:sz w:val="28"/>
        </w:rPr>
        <w:t>-2203/2024</w:t>
      </w:r>
    </w:p>
    <w:p w:rsidR="00561A91" w:rsidRPr="00CF6B0B" w:rsidP="00561A91">
      <w:pPr>
        <w:ind w:firstLine="709"/>
        <w:jc w:val="right"/>
        <w:rPr>
          <w:sz w:val="28"/>
        </w:rPr>
      </w:pPr>
      <w:r w:rsidRPr="00CF6B0B">
        <w:rPr>
          <w:sz w:val="28"/>
        </w:rPr>
        <w:t xml:space="preserve">УИД </w:t>
      </w:r>
      <w:r w:rsidR="00F70C02">
        <w:rPr>
          <w:sz w:val="28"/>
        </w:rPr>
        <w:t>*</w:t>
      </w:r>
    </w:p>
    <w:p w:rsidR="00561A91" w:rsidRPr="00CF6B0B" w:rsidP="00561A91">
      <w:pPr>
        <w:ind w:firstLine="709"/>
        <w:jc w:val="center"/>
        <w:rPr>
          <w:sz w:val="28"/>
        </w:rPr>
      </w:pPr>
    </w:p>
    <w:p w:rsidR="00561A91" w:rsidRPr="00CF6B0B" w:rsidP="00561A91">
      <w:pPr>
        <w:ind w:firstLine="709"/>
        <w:jc w:val="center"/>
        <w:rPr>
          <w:sz w:val="28"/>
        </w:rPr>
      </w:pPr>
      <w:r w:rsidRPr="00CF6B0B">
        <w:rPr>
          <w:sz w:val="28"/>
        </w:rPr>
        <w:t>ПОСТАНОВЛЕНИЕ</w:t>
      </w:r>
    </w:p>
    <w:p w:rsidR="00561A91" w:rsidRPr="00CF6B0B" w:rsidP="00561A91">
      <w:pPr>
        <w:ind w:firstLine="709"/>
        <w:jc w:val="center"/>
        <w:rPr>
          <w:sz w:val="28"/>
        </w:rPr>
      </w:pPr>
      <w:r w:rsidRPr="00CF6B0B">
        <w:rPr>
          <w:sz w:val="28"/>
        </w:rPr>
        <w:t>о назначении административного наказания</w:t>
      </w:r>
    </w:p>
    <w:p w:rsidR="00561A91" w:rsidRPr="00CF6B0B" w:rsidP="00561A91">
      <w:pPr>
        <w:ind w:firstLine="709"/>
        <w:jc w:val="center"/>
        <w:rPr>
          <w:sz w:val="28"/>
        </w:rPr>
      </w:pPr>
    </w:p>
    <w:p w:rsidR="00561A91" w:rsidRPr="00CF6B0B" w:rsidP="00561A91">
      <w:pPr>
        <w:ind w:firstLine="283"/>
        <w:rPr>
          <w:sz w:val="28"/>
        </w:rPr>
      </w:pPr>
      <w:r w:rsidRPr="00CF6B0B">
        <w:rPr>
          <w:sz w:val="28"/>
        </w:rPr>
        <w:t>18 марта 2024 года                                                        г. Нягань ХМАО-Югры</w:t>
      </w:r>
    </w:p>
    <w:p w:rsidR="00561A91" w:rsidRPr="00CF6B0B" w:rsidP="00561A91">
      <w:pPr>
        <w:ind w:firstLine="283"/>
        <w:rPr>
          <w:sz w:val="28"/>
        </w:rPr>
      </w:pPr>
    </w:p>
    <w:p w:rsidR="00561A91" w:rsidRPr="00CF6B0B" w:rsidP="00561A91">
      <w:pPr>
        <w:ind w:firstLine="709"/>
        <w:jc w:val="both"/>
        <w:rPr>
          <w:sz w:val="28"/>
        </w:rPr>
      </w:pPr>
      <w:r w:rsidRPr="00CF6B0B"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Л.Г.Волкова, 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561A91" w:rsidRPr="00CF6B0B" w:rsidP="00561A91">
      <w:pPr>
        <w:widowControl w:val="0"/>
        <w:ind w:firstLine="709"/>
        <w:jc w:val="both"/>
        <w:rPr>
          <w:sz w:val="28"/>
        </w:rPr>
      </w:pPr>
      <w:r w:rsidRPr="00CF6B0B">
        <w:rPr>
          <w:sz w:val="28"/>
        </w:rPr>
        <w:t xml:space="preserve">рассмотрев дело об административном правонарушении в отношении  Сливко Алексея Анатольевича, </w:t>
      </w:r>
      <w:r w:rsidR="00F70C02">
        <w:rPr>
          <w:sz w:val="28"/>
        </w:rPr>
        <w:t>*</w:t>
      </w:r>
      <w:r w:rsidRPr="00CF6B0B">
        <w:rPr>
          <w:sz w:val="28"/>
        </w:rPr>
        <w:t xml:space="preserve"> года рождения, уроженца </w:t>
      </w:r>
      <w:r w:rsidR="00F70C02">
        <w:rPr>
          <w:sz w:val="28"/>
        </w:rPr>
        <w:t>*</w:t>
      </w:r>
      <w:r w:rsidRPr="00CF6B0B">
        <w:rPr>
          <w:sz w:val="28"/>
        </w:rPr>
        <w:t xml:space="preserve">, гражданина РФ, паспорт </w:t>
      </w:r>
      <w:r w:rsidR="00F70C02">
        <w:rPr>
          <w:sz w:val="28"/>
        </w:rPr>
        <w:t>*</w:t>
      </w:r>
      <w:r w:rsidRPr="00CF6B0B">
        <w:rPr>
          <w:sz w:val="28"/>
        </w:rPr>
        <w:t xml:space="preserve">, работающего </w:t>
      </w:r>
      <w:r w:rsidR="00F70C02">
        <w:rPr>
          <w:sz w:val="28"/>
        </w:rPr>
        <w:t>*</w:t>
      </w:r>
      <w:r w:rsidRPr="00CF6B0B">
        <w:rPr>
          <w:sz w:val="28"/>
        </w:rPr>
        <w:t xml:space="preserve"> товарищества собственников жилья «</w:t>
      </w:r>
      <w:r w:rsidR="00F70C02">
        <w:rPr>
          <w:sz w:val="28"/>
        </w:rPr>
        <w:t>*</w:t>
      </w:r>
      <w:r w:rsidRPr="00CF6B0B">
        <w:rPr>
          <w:sz w:val="28"/>
        </w:rPr>
        <w:t xml:space="preserve">», проживающего по адресу: ХМАО-Югра, </w:t>
      </w:r>
      <w:r w:rsidR="00F70C02">
        <w:rPr>
          <w:sz w:val="28"/>
        </w:rPr>
        <w:t>*</w:t>
      </w:r>
      <w:r w:rsidRPr="00CF6B0B">
        <w:rPr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01 апреля 2023 года </w:t>
      </w:r>
      <w:r w:rsidR="00561A91">
        <w:rPr>
          <w:spacing w:val="-2"/>
          <w:sz w:val="28"/>
        </w:rPr>
        <w:t>Сливко А.А</w:t>
      </w:r>
      <w:r w:rsidRPr="00827F8E" w:rsidR="00561A91">
        <w:rPr>
          <w:spacing w:val="-2"/>
          <w:sz w:val="28"/>
        </w:rPr>
        <w:t xml:space="preserve">., являясь должностным лицом –  </w:t>
      </w:r>
      <w:r w:rsidR="00F70C02">
        <w:rPr>
          <w:spacing w:val="-2"/>
          <w:sz w:val="28"/>
        </w:rPr>
        <w:t>*</w:t>
      </w:r>
      <w:r w:rsidRPr="00827F8E" w:rsidR="00561A91">
        <w:rPr>
          <w:spacing w:val="-2"/>
          <w:sz w:val="28"/>
        </w:rPr>
        <w:t xml:space="preserve"> </w:t>
      </w:r>
      <w:r w:rsidR="00561A91">
        <w:rPr>
          <w:spacing w:val="-2"/>
          <w:sz w:val="28"/>
        </w:rPr>
        <w:t>ТСЖ «</w:t>
      </w:r>
      <w:r w:rsidR="00F70C02">
        <w:rPr>
          <w:spacing w:val="-2"/>
          <w:sz w:val="28"/>
        </w:rPr>
        <w:t>*</w:t>
      </w:r>
      <w:r w:rsidR="00561A91">
        <w:rPr>
          <w:spacing w:val="-2"/>
          <w:sz w:val="28"/>
        </w:rPr>
        <w:t>»</w:t>
      </w:r>
      <w:r w:rsidRPr="00827F8E" w:rsidR="00561A91">
        <w:rPr>
          <w:spacing w:val="-2"/>
          <w:sz w:val="28"/>
        </w:rPr>
        <w:t xml:space="preserve">, зарегистрированного по адресу: ХМАО-Югра, </w:t>
      </w:r>
      <w:r w:rsidR="00F70C02">
        <w:rPr>
          <w:spacing w:val="-2"/>
          <w:sz w:val="28"/>
        </w:rPr>
        <w:t>*</w:t>
      </w:r>
      <w:r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за 2022 год. </w:t>
      </w:r>
    </w:p>
    <w:p w:rsidR="00561A91" w:rsidRPr="00561A91" w:rsidP="00561A91">
      <w:pPr>
        <w:pStyle w:val="NoSpacing"/>
        <w:ind w:firstLine="708"/>
        <w:jc w:val="both"/>
        <w:rPr>
          <w:sz w:val="28"/>
        </w:rPr>
      </w:pPr>
      <w:r w:rsidRPr="00561A91">
        <w:rPr>
          <w:sz w:val="28"/>
        </w:rPr>
        <w:t>Должностное лицо Сливко А.А., извещенный надлежащим образом, на рассмотрение дела об административном правонарушении не явился, причин неявки не сообщил, сведения о его надлежащем извещении в материалах дела имеются.</w:t>
      </w:r>
    </w:p>
    <w:p w:rsidR="00561A91" w:rsidP="00561A91">
      <w:pPr>
        <w:pStyle w:val="NoSpacing"/>
        <w:ind w:firstLine="708"/>
        <w:jc w:val="both"/>
        <w:rPr>
          <w:sz w:val="28"/>
        </w:rPr>
      </w:pPr>
      <w:r w:rsidRPr="00561A91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Сливко А.А.</w:t>
      </w:r>
    </w:p>
    <w:p w:rsidR="00A3304A" w:rsidP="00561A91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Pr="00561A91" w:rsidR="00561A91">
        <w:rPr>
          <w:sz w:val="28"/>
        </w:rPr>
        <w:t>Сливко А.А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</w:t>
      </w:r>
      <w:r>
        <w:rPr>
          <w:sz w:val="28"/>
        </w:rPr>
        <w:t>годовой бухгалтерской отчетности в налоговый орган по месту нахождения экономического субъекта. Обязательный экземпляр отчетности 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за 2022 год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561A91">
        <w:rPr>
          <w:sz w:val="28"/>
        </w:rPr>
        <w:t>ТСЖ «</w:t>
      </w:r>
      <w:r w:rsidR="00F70C02">
        <w:rPr>
          <w:sz w:val="28"/>
        </w:rPr>
        <w:t>*</w:t>
      </w:r>
      <w:r w:rsidR="00561A91">
        <w:rPr>
          <w:sz w:val="28"/>
        </w:rPr>
        <w:t>»</w:t>
      </w:r>
      <w:r>
        <w:rPr>
          <w:sz w:val="28"/>
        </w:rPr>
        <w:t xml:space="preserve"> </w:t>
      </w:r>
      <w:r w:rsidR="00561A91">
        <w:rPr>
          <w:sz w:val="28"/>
        </w:rPr>
        <w:t>Сливко А.А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позднее 31 марта 2023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="00561A91">
        <w:rPr>
          <w:sz w:val="28"/>
        </w:rPr>
        <w:t>Сливко А.А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</w:t>
      </w:r>
      <w:r w:rsidR="00BD38D9">
        <w:rPr>
          <w:sz w:val="28"/>
        </w:rPr>
        <w:t>а</w:t>
      </w:r>
      <w:r>
        <w:rPr>
          <w:sz w:val="28"/>
        </w:rPr>
        <w:t xml:space="preserve"> бухгалтерскую отчетность за 12 месяцев 2022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561A91">
        <w:rPr>
          <w:sz w:val="28"/>
        </w:rPr>
        <w:t>Сливко А.А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F70C02">
        <w:rPr>
          <w:sz w:val="28"/>
        </w:rPr>
        <w:t>*</w:t>
      </w:r>
      <w:r>
        <w:rPr>
          <w:sz w:val="28"/>
        </w:rPr>
        <w:t xml:space="preserve"> от           </w:t>
      </w:r>
      <w:r w:rsidR="00BD38D9">
        <w:rPr>
          <w:sz w:val="28"/>
        </w:rPr>
        <w:t>29 февраля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561A91">
        <w:rPr>
          <w:sz w:val="28"/>
        </w:rPr>
        <w:t>ТСЖ «</w:t>
      </w:r>
      <w:r w:rsidR="00F70C02">
        <w:rPr>
          <w:sz w:val="28"/>
        </w:rPr>
        <w:t>*</w:t>
      </w:r>
      <w:r w:rsidR="00561A91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12 месяцев 2022 года.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F70C02">
        <w:rPr>
          <w:sz w:val="28"/>
        </w:rPr>
        <w:t>*</w:t>
      </w:r>
      <w:r w:rsidR="0045382D">
        <w:rPr>
          <w:sz w:val="28"/>
        </w:rPr>
        <w:t xml:space="preserve"> </w:t>
      </w:r>
      <w:r w:rsidR="00561A91">
        <w:rPr>
          <w:sz w:val="28"/>
        </w:rPr>
        <w:t>ТСЖ «</w:t>
      </w:r>
      <w:r w:rsidR="00F70C02">
        <w:rPr>
          <w:sz w:val="28"/>
        </w:rPr>
        <w:t>*</w:t>
      </w:r>
      <w:r w:rsidR="00561A91">
        <w:rPr>
          <w:sz w:val="28"/>
        </w:rPr>
        <w:t>»</w:t>
      </w:r>
      <w:r>
        <w:rPr>
          <w:sz w:val="28"/>
        </w:rPr>
        <w:t xml:space="preserve"> является </w:t>
      </w:r>
      <w:r w:rsidR="00561A91">
        <w:rPr>
          <w:sz w:val="28"/>
        </w:rPr>
        <w:t>Сливко А.А</w:t>
      </w:r>
      <w:r>
        <w:rPr>
          <w:sz w:val="28"/>
        </w:rPr>
        <w:t xml:space="preserve">. Соответственно, </w:t>
      </w:r>
      <w:r w:rsidR="00561A91">
        <w:rPr>
          <w:sz w:val="28"/>
        </w:rPr>
        <w:t>Сливко А.А</w:t>
      </w:r>
      <w:r>
        <w:rPr>
          <w:sz w:val="28"/>
        </w:rPr>
        <w:t>., как должностное лицо, несет ответственность за своевременное предоставление бухгалтерской отчетности за 2022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="00561A91">
        <w:rPr>
          <w:sz w:val="28"/>
        </w:rPr>
        <w:t>Сливко А.А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561A91">
        <w:rPr>
          <w:sz w:val="28"/>
        </w:rPr>
        <w:t>Сливко А.А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561A91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Pr="00CF6B0B" w:rsidR="00561A91">
        <w:rPr>
          <w:sz w:val="28"/>
        </w:rPr>
        <w:t>Сливко Алексея Анатольевича</w:t>
      </w:r>
      <w:r w:rsidR="00561A91">
        <w:rPr>
          <w:sz w:val="28"/>
        </w:rPr>
        <w:t xml:space="preserve"> </w:t>
      </w:r>
      <w:r w:rsidR="00BD38D9">
        <w:rPr>
          <w:sz w:val="28"/>
        </w:rPr>
        <w:t>признать виновн</w:t>
      </w:r>
      <w:r w:rsidR="00561A91">
        <w:rPr>
          <w:sz w:val="28"/>
        </w:rPr>
        <w:t>ым</w:t>
      </w:r>
      <w:r w:rsidR="00BD38D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561A91" w:rsidR="00561A91">
        <w:rPr>
          <w:sz w:val="28"/>
        </w:rPr>
        <w:t>0412365400545003682415126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</w:t>
      </w:r>
      <w:r w:rsidR="00561A91">
        <w:rPr>
          <w:sz w:val="28"/>
        </w:rPr>
        <w:t>3</w:t>
      </w:r>
      <w:r>
        <w:rPr>
          <w:sz w:val="28"/>
        </w:rPr>
        <w:t xml:space="preserve">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561A91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74797E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70C02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2C6696"/>
    <w:rsid w:val="002F1994"/>
    <w:rsid w:val="00347C97"/>
    <w:rsid w:val="00396F61"/>
    <w:rsid w:val="003C187B"/>
    <w:rsid w:val="0045382D"/>
    <w:rsid w:val="00561A91"/>
    <w:rsid w:val="006A7FC4"/>
    <w:rsid w:val="0074797E"/>
    <w:rsid w:val="00755591"/>
    <w:rsid w:val="00827F8E"/>
    <w:rsid w:val="008531E4"/>
    <w:rsid w:val="009C1F0B"/>
    <w:rsid w:val="009E0A86"/>
    <w:rsid w:val="00A10CEE"/>
    <w:rsid w:val="00A3304A"/>
    <w:rsid w:val="00B20BD3"/>
    <w:rsid w:val="00B418FB"/>
    <w:rsid w:val="00BD38D9"/>
    <w:rsid w:val="00BE14E6"/>
    <w:rsid w:val="00BF0DBE"/>
    <w:rsid w:val="00C57BAD"/>
    <w:rsid w:val="00CE55E0"/>
    <w:rsid w:val="00CF6B0B"/>
    <w:rsid w:val="00D327EE"/>
    <w:rsid w:val="00E15378"/>
    <w:rsid w:val="00F70C02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92344-41E9-4F0D-B276-673F488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